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3846"/>
        <w:gridCol w:w="1014"/>
        <w:gridCol w:w="4630"/>
        <w:gridCol w:w="1081"/>
        <w:gridCol w:w="3843"/>
      </w:tblGrid>
      <w:tr w:rsidR="0006579B" w:rsidRPr="00CC188D" w14:paraId="10091E4C" w14:textId="77777777">
        <w:trPr>
          <w:cantSplit/>
          <w:trHeight w:hRule="exact" w:val="10656"/>
          <w:jc w:val="center"/>
        </w:trPr>
        <w:tc>
          <w:tcPr>
            <w:tcW w:w="3846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CC188D" w:rsidRPr="00CC188D" w14:paraId="10091E2E" w14:textId="77777777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14:paraId="10091E2D" w14:textId="77777777" w:rsidR="0006579B" w:rsidRPr="00CC188D" w:rsidRDefault="0006579B">
                  <w:pPr>
                    <w:spacing w:after="180" w:line="288" w:lineRule="auto"/>
                    <w:rPr>
                      <w:color w:val="auto"/>
                    </w:rPr>
                  </w:pPr>
                </w:p>
              </w:tc>
            </w:tr>
          </w:tbl>
          <w:p w14:paraId="10091E2F" w14:textId="77777777" w:rsidR="0006579B" w:rsidRPr="00CC188D" w:rsidRDefault="0006579B">
            <w:pPr>
              <w:rPr>
                <w:color w:val="auto"/>
              </w:rPr>
            </w:pPr>
          </w:p>
          <w:p w14:paraId="10091E30" w14:textId="77777777" w:rsidR="0006579B" w:rsidRPr="00CC188D" w:rsidRDefault="0015637E">
            <w:pPr>
              <w:pStyle w:val="Heading1"/>
              <w:rPr>
                <w:color w:val="auto"/>
              </w:rPr>
            </w:pPr>
            <w:r w:rsidRPr="00CC188D">
              <w:rPr>
                <w:color w:val="auto"/>
              </w:rPr>
              <w:t>About the Participants</w:t>
            </w:r>
          </w:p>
          <w:p w14:paraId="10091E31" w14:textId="5A801338" w:rsidR="0015637E" w:rsidRPr="00CC188D" w:rsidRDefault="0015637E" w:rsidP="0015637E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>FGDM participants are anyone you believe is committed to help</w:t>
            </w:r>
            <w:r w:rsidR="002C55B0" w:rsidRPr="00CC188D">
              <w:rPr>
                <w:color w:val="auto"/>
                <w:sz w:val="22"/>
                <w:szCs w:val="22"/>
              </w:rPr>
              <w:t>ing</w:t>
            </w:r>
            <w:r w:rsidRPr="00CC188D">
              <w:rPr>
                <w:color w:val="auto"/>
                <w:sz w:val="22"/>
                <w:szCs w:val="22"/>
              </w:rPr>
              <w:t xml:space="preserve"> establish a support plan. Families let the facilitator know who they have chosen to invite. Fortunately, the definition of “family” is evolving in this country. This may include a blood relative, a step relationship, extended family member or a close friend who feels “like part of the family”. It will also include resourceful persons and professionals from the community (clergy, teachers, close friends, social workers, probation officers, </w:t>
            </w:r>
            <w:r w:rsidR="00FD32E7" w:rsidRPr="00CC188D">
              <w:rPr>
                <w:color w:val="auto"/>
                <w:sz w:val="22"/>
                <w:szCs w:val="22"/>
              </w:rPr>
              <w:t>therapists,</w:t>
            </w:r>
            <w:r w:rsidRPr="00CC188D">
              <w:rPr>
                <w:color w:val="auto"/>
                <w:sz w:val="22"/>
                <w:szCs w:val="22"/>
              </w:rPr>
              <w:t xml:space="preserve"> and directors of intervention).</w:t>
            </w:r>
          </w:p>
          <w:p w14:paraId="10091E32" w14:textId="77777777" w:rsidR="0015637E" w:rsidRPr="00CC188D" w:rsidRDefault="0015637E" w:rsidP="0015637E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>People gather to focus on what is in the best interest of the children.</w:t>
            </w:r>
          </w:p>
          <w:p w14:paraId="10091E33" w14:textId="77777777" w:rsidR="0015637E" w:rsidRPr="00CC188D" w:rsidRDefault="0015637E" w:rsidP="00E2610A">
            <w:pPr>
              <w:pStyle w:val="Heading1"/>
              <w:rPr>
                <w:color w:val="auto"/>
              </w:rPr>
            </w:pPr>
            <w:r w:rsidRPr="00CC188D">
              <w:rPr>
                <w:color w:val="auto"/>
              </w:rPr>
              <w:t xml:space="preserve">What is in a plan? </w:t>
            </w:r>
          </w:p>
          <w:p w14:paraId="10091E34" w14:textId="62CD492E" w:rsidR="0015637E" w:rsidRPr="00CC188D" w:rsidRDefault="0015637E" w:rsidP="0015637E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 xml:space="preserve">How will a safe, </w:t>
            </w:r>
            <w:r w:rsidR="00CC188D" w:rsidRPr="00CC188D">
              <w:rPr>
                <w:color w:val="auto"/>
                <w:sz w:val="22"/>
                <w:szCs w:val="22"/>
              </w:rPr>
              <w:t>stable,</w:t>
            </w:r>
            <w:r w:rsidRPr="00CC188D">
              <w:rPr>
                <w:color w:val="auto"/>
                <w:sz w:val="22"/>
                <w:szCs w:val="22"/>
              </w:rPr>
              <w:t xml:space="preserve"> and permanent home be provided for the child?</w:t>
            </w:r>
          </w:p>
          <w:p w14:paraId="10091E35" w14:textId="77777777" w:rsidR="0015637E" w:rsidRPr="00CC188D" w:rsidRDefault="0015637E" w:rsidP="0015637E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>What does the child need to be safe?</w:t>
            </w:r>
          </w:p>
          <w:p w14:paraId="10091E36" w14:textId="77777777" w:rsidR="0015637E" w:rsidRPr="00CC188D" w:rsidRDefault="0015637E" w:rsidP="0015637E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>What is needed to promote and build on the unique strengths of this family?</w:t>
            </w:r>
          </w:p>
          <w:p w14:paraId="10091E37" w14:textId="77777777" w:rsidR="0006579B" w:rsidRPr="00CC188D" w:rsidRDefault="0015637E" w:rsidP="0015637E">
            <w:pPr>
              <w:rPr>
                <w:color w:val="auto"/>
              </w:rPr>
            </w:pPr>
            <w:r w:rsidRPr="00CC188D">
              <w:rPr>
                <w:color w:val="auto"/>
                <w:sz w:val="22"/>
                <w:szCs w:val="22"/>
              </w:rPr>
              <w:t>How will we best support superior functioning in this family?</w:t>
            </w:r>
          </w:p>
        </w:tc>
        <w:tc>
          <w:tcPr>
            <w:tcW w:w="1014" w:type="dxa"/>
            <w:textDirection w:val="btLr"/>
          </w:tcPr>
          <w:p w14:paraId="10091E38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4630" w:type="dxa"/>
          </w:tcPr>
          <w:p w14:paraId="10091E39" w14:textId="77777777" w:rsidR="002C55B0" w:rsidRPr="00CC188D" w:rsidRDefault="002C55B0" w:rsidP="002C55B0">
            <w:pPr>
              <w:pStyle w:val="Heading1"/>
              <w:rPr>
                <w:color w:val="auto"/>
              </w:rPr>
            </w:pPr>
            <w:r w:rsidRPr="00CC188D">
              <w:rPr>
                <w:color w:val="auto"/>
              </w:rPr>
              <w:t xml:space="preserve">Preparation for the FGDM Meeting </w:t>
            </w:r>
          </w:p>
          <w:p w14:paraId="10091E3A" w14:textId="25E26F2E" w:rsidR="002C55B0" w:rsidRPr="00CC188D" w:rsidRDefault="002C55B0" w:rsidP="002C55B0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 xml:space="preserve">A neutral, </w:t>
            </w:r>
            <w:r w:rsidR="006D7C35" w:rsidRPr="00CC188D">
              <w:rPr>
                <w:color w:val="auto"/>
                <w:sz w:val="22"/>
                <w:szCs w:val="22"/>
              </w:rPr>
              <w:t>third-party</w:t>
            </w:r>
            <w:r w:rsidRPr="00CC188D">
              <w:rPr>
                <w:color w:val="auto"/>
                <w:sz w:val="22"/>
                <w:szCs w:val="22"/>
              </w:rPr>
              <w:t xml:space="preserve"> facilitator will discuss the FGDM meeting with you. The family makes a list of people they would like to invite to the meeting. The facilitator will invite all participants and make all arrangements including an appropriate and convenient time a</w:t>
            </w:r>
            <w:r w:rsidR="001D707E" w:rsidRPr="00CC188D">
              <w:rPr>
                <w:color w:val="auto"/>
                <w:sz w:val="22"/>
                <w:szCs w:val="22"/>
              </w:rPr>
              <w:t>nd place for everyone to meet.</w:t>
            </w:r>
          </w:p>
          <w:p w14:paraId="10091E3B" w14:textId="07E1DF9D" w:rsidR="002C55B0" w:rsidRPr="00CC188D" w:rsidRDefault="002C55B0" w:rsidP="002C55B0">
            <w:pPr>
              <w:pStyle w:val="Heading1"/>
              <w:rPr>
                <w:color w:val="auto"/>
              </w:rPr>
            </w:pPr>
            <w:r w:rsidRPr="00CC188D">
              <w:rPr>
                <w:color w:val="auto"/>
              </w:rPr>
              <w:t xml:space="preserve">The </w:t>
            </w:r>
            <w:r w:rsidR="00275AF9" w:rsidRPr="00CC188D">
              <w:rPr>
                <w:color w:val="auto"/>
              </w:rPr>
              <w:t>decision-making</w:t>
            </w:r>
            <w:r w:rsidRPr="00CC188D">
              <w:rPr>
                <w:color w:val="auto"/>
              </w:rPr>
              <w:t xml:space="preserve"> meeting</w:t>
            </w:r>
          </w:p>
          <w:p w14:paraId="10091E3C" w14:textId="57E99002" w:rsidR="002C55B0" w:rsidRPr="00CC188D" w:rsidRDefault="002C55B0" w:rsidP="002C55B0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>Everyone will be given t</w:t>
            </w:r>
            <w:r w:rsidR="001D707E" w:rsidRPr="00CC188D">
              <w:rPr>
                <w:color w:val="auto"/>
                <w:sz w:val="22"/>
                <w:szCs w:val="22"/>
              </w:rPr>
              <w:t>ime to meet each other. Informa</w:t>
            </w:r>
            <w:r w:rsidRPr="00CC188D">
              <w:rPr>
                <w:color w:val="auto"/>
                <w:sz w:val="22"/>
                <w:szCs w:val="22"/>
              </w:rPr>
              <w:t>t</w:t>
            </w:r>
            <w:r w:rsidR="001D707E" w:rsidRPr="00CC188D">
              <w:rPr>
                <w:color w:val="auto"/>
                <w:sz w:val="22"/>
                <w:szCs w:val="22"/>
              </w:rPr>
              <w:t>i</w:t>
            </w:r>
            <w:r w:rsidRPr="00CC188D">
              <w:rPr>
                <w:color w:val="auto"/>
                <w:sz w:val="22"/>
                <w:szCs w:val="22"/>
              </w:rPr>
              <w:t xml:space="preserve">on will be discussed regarding the family’s strengths, goals, </w:t>
            </w:r>
            <w:r w:rsidR="00FD32E7" w:rsidRPr="00CC188D">
              <w:rPr>
                <w:color w:val="auto"/>
                <w:sz w:val="22"/>
                <w:szCs w:val="22"/>
              </w:rPr>
              <w:t>needs,</w:t>
            </w:r>
            <w:r w:rsidRPr="00CC188D">
              <w:rPr>
                <w:color w:val="auto"/>
                <w:sz w:val="22"/>
                <w:szCs w:val="22"/>
              </w:rPr>
              <w:t xml:space="preserve"> and concerns.</w:t>
            </w:r>
          </w:p>
          <w:p w14:paraId="10091E3D" w14:textId="471757AB" w:rsidR="002C55B0" w:rsidRPr="00CC188D" w:rsidRDefault="002C55B0" w:rsidP="002C55B0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 xml:space="preserve">Once </w:t>
            </w:r>
            <w:r w:rsidR="001D707E" w:rsidRPr="00CC188D">
              <w:rPr>
                <w:color w:val="auto"/>
                <w:sz w:val="22"/>
                <w:szCs w:val="22"/>
              </w:rPr>
              <w:t>all the information is brought to the table, the family is given time to discuss and determine their preferred choices for safe and nurturing living arrangements for the children involved.</w:t>
            </w:r>
          </w:p>
          <w:p w14:paraId="10091E3E" w14:textId="5178CB12" w:rsidR="001D707E" w:rsidRPr="00CC188D" w:rsidRDefault="001D707E" w:rsidP="002C55B0">
            <w:pPr>
              <w:rPr>
                <w:color w:val="auto"/>
                <w:sz w:val="22"/>
                <w:szCs w:val="22"/>
              </w:rPr>
            </w:pPr>
            <w:r w:rsidRPr="00CC188D">
              <w:rPr>
                <w:color w:val="auto"/>
                <w:sz w:val="22"/>
                <w:szCs w:val="22"/>
              </w:rPr>
              <w:t xml:space="preserve">The team and family will reconvene to discuss the family’s plan, answer any </w:t>
            </w:r>
            <w:r w:rsidR="00FD32E7" w:rsidRPr="00CC188D">
              <w:rPr>
                <w:color w:val="auto"/>
                <w:sz w:val="22"/>
                <w:szCs w:val="22"/>
              </w:rPr>
              <w:t>questions,</w:t>
            </w:r>
            <w:r w:rsidRPr="00CC188D">
              <w:rPr>
                <w:color w:val="auto"/>
                <w:sz w:val="22"/>
                <w:szCs w:val="22"/>
              </w:rPr>
              <w:t xml:space="preserve"> and make suggestions. Compromises are made to secure safe and legal resolutions.</w:t>
            </w:r>
          </w:p>
          <w:p w14:paraId="10091E3F" w14:textId="77777777" w:rsidR="00C01E57" w:rsidRPr="00CC188D" w:rsidRDefault="00C01E57" w:rsidP="00C01E57">
            <w:pPr>
              <w:spacing w:after="0"/>
              <w:jc w:val="center"/>
              <w:rPr>
                <w:rFonts w:ascii="Lucida Calligraphy" w:hAnsi="Lucida Calligraphy"/>
                <w:b/>
                <w:color w:val="auto"/>
                <w:sz w:val="22"/>
                <w:szCs w:val="22"/>
              </w:rPr>
            </w:pPr>
            <w:r w:rsidRPr="00CC188D">
              <w:rPr>
                <w:rFonts w:ascii="Lucida Calligraphy" w:hAnsi="Lucida Calligraphy"/>
                <w:b/>
                <w:color w:val="auto"/>
                <w:sz w:val="22"/>
                <w:szCs w:val="22"/>
              </w:rPr>
              <w:t>Greater Minnesota Family Services</w:t>
            </w:r>
          </w:p>
          <w:p w14:paraId="10091E40" w14:textId="77777777" w:rsidR="00C01E57" w:rsidRPr="00CC188D" w:rsidRDefault="00C01E57" w:rsidP="00C01E57">
            <w:pPr>
              <w:spacing w:after="0"/>
              <w:jc w:val="center"/>
              <w:rPr>
                <w:rFonts w:ascii="Elephant" w:hAnsi="Elephant"/>
                <w:color w:val="auto"/>
                <w:sz w:val="22"/>
                <w:szCs w:val="22"/>
              </w:rPr>
            </w:pPr>
            <w:r w:rsidRPr="00CC188D">
              <w:rPr>
                <w:rFonts w:ascii="Elephant" w:hAnsi="Elephant"/>
                <w:color w:val="auto"/>
                <w:sz w:val="22"/>
                <w:szCs w:val="22"/>
              </w:rPr>
              <w:t>Phone: 320-214-9692</w:t>
            </w:r>
          </w:p>
          <w:p w14:paraId="10091E41" w14:textId="77777777" w:rsidR="00C01E57" w:rsidRPr="00CC188D" w:rsidRDefault="00C01E57" w:rsidP="00C01E57">
            <w:pPr>
              <w:spacing w:after="0"/>
              <w:jc w:val="center"/>
              <w:rPr>
                <w:rFonts w:ascii="Cooper Black" w:hAnsi="Cooper Black"/>
                <w:color w:val="auto"/>
                <w:sz w:val="24"/>
                <w:szCs w:val="24"/>
              </w:rPr>
            </w:pPr>
            <w:r w:rsidRPr="00CC188D">
              <w:rPr>
                <w:rFonts w:ascii="Cooper Black" w:hAnsi="Cooper Black"/>
                <w:color w:val="auto"/>
                <w:sz w:val="24"/>
                <w:szCs w:val="24"/>
              </w:rPr>
              <w:t>www.greaterminnesota.org</w:t>
            </w:r>
          </w:p>
        </w:tc>
        <w:tc>
          <w:tcPr>
            <w:tcW w:w="1081" w:type="dxa"/>
            <w:textDirection w:val="btLr"/>
          </w:tcPr>
          <w:p w14:paraId="10091E42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3843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828"/>
            </w:tblGrid>
            <w:tr w:rsidR="00CC188D" w:rsidRPr="00CC188D" w14:paraId="10091E44" w14:textId="77777777">
              <w:trPr>
                <w:trHeight w:val="5328"/>
              </w:trPr>
              <w:sdt>
                <w:sdtPr>
                  <w:rPr>
                    <w:color w:val="auto"/>
                  </w:rPr>
                  <w:alias w:val="Company Name"/>
                  <w:tag w:val=""/>
                  <w:id w:val="1289861575"/>
                  <w:placeholder>
                    <w:docPart w:val="96383BCD30534FCBBDCBC220B5136A0F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15:appearance w15:val="hidden"/>
                  <w:text/>
                </w:sdtPr>
                <w:sdtContent>
                  <w:tc>
                    <w:tcPr>
                      <w:tcW w:w="3828" w:type="dxa"/>
                      <w:vAlign w:val="bottom"/>
                    </w:tcPr>
                    <w:p w14:paraId="10091E43" w14:textId="77777777" w:rsidR="0006579B" w:rsidRPr="00CC188D" w:rsidRDefault="00827703" w:rsidP="00E2610A">
                      <w:pPr>
                        <w:pStyle w:val="Title"/>
                        <w:rPr>
                          <w:color w:val="auto"/>
                        </w:rPr>
                      </w:pPr>
                      <w:r w:rsidRPr="00CC188D">
                        <w:rPr>
                          <w:color w:val="auto"/>
                        </w:rPr>
                        <w:t xml:space="preserve">Family </w:t>
                      </w:r>
                      <w:r w:rsidR="00E2610A" w:rsidRPr="00CC188D">
                        <w:rPr>
                          <w:color w:val="auto"/>
                        </w:rPr>
                        <w:t>G</w:t>
                      </w:r>
                      <w:r w:rsidRPr="00CC188D">
                        <w:rPr>
                          <w:color w:val="auto"/>
                        </w:rPr>
                        <w:t>roup Decision Making</w:t>
                      </w:r>
                    </w:p>
                  </w:tc>
                </w:sdtContent>
              </w:sdt>
            </w:tr>
            <w:tr w:rsidR="00CC188D" w:rsidRPr="00CC188D" w14:paraId="10091E46" w14:textId="77777777">
              <w:trPr>
                <w:trHeight w:hRule="exact" w:val="86"/>
              </w:trPr>
              <w:tc>
                <w:tcPr>
                  <w:tcW w:w="3828" w:type="dxa"/>
                  <w:shd w:val="clear" w:color="auto" w:fill="000000" w:themeFill="text1"/>
                </w:tcPr>
                <w:p w14:paraId="10091E45" w14:textId="77777777" w:rsidR="0006579B" w:rsidRPr="00CC188D" w:rsidRDefault="0006579B">
                  <w:pPr>
                    <w:spacing w:after="180" w:line="288" w:lineRule="auto"/>
                    <w:rPr>
                      <w:color w:val="auto"/>
                    </w:rPr>
                  </w:pPr>
                </w:p>
              </w:tc>
            </w:tr>
            <w:tr w:rsidR="00CC188D" w:rsidRPr="00CC188D" w14:paraId="10091E48" w14:textId="77777777">
              <w:trPr>
                <w:trHeight w:val="2650"/>
              </w:trPr>
              <w:tc>
                <w:tcPr>
                  <w:tcW w:w="3828" w:type="dxa"/>
                </w:tcPr>
                <w:p w14:paraId="10091E47" w14:textId="77777777" w:rsidR="0006579B" w:rsidRPr="00CC188D" w:rsidRDefault="00827703" w:rsidP="00827703">
                  <w:pPr>
                    <w:pStyle w:val="Subtitle"/>
                    <w:rPr>
                      <w:color w:val="auto"/>
                      <w:sz w:val="24"/>
                    </w:rPr>
                  </w:pPr>
                  <w:r w:rsidRPr="00CC188D">
                    <w:rPr>
                      <w:noProof/>
                      <w:color w:val="auto"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10091E76" wp14:editId="646E02F5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777240</wp:posOffset>
                            </wp:positionV>
                            <wp:extent cx="2381250" cy="1155700"/>
                            <wp:effectExtent l="0" t="0" r="19050" b="2540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0" cy="1155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091E80" w14:textId="6AD4CAB2" w:rsidR="00827703" w:rsidRPr="00D4609A" w:rsidRDefault="00275AF9" w:rsidP="00827703">
                                        <w:pPr>
                                          <w:jc w:val="center"/>
                                          <w:rPr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609A">
                                          <w:rPr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FGDM Coordinator</w:t>
                                        </w:r>
                                      </w:p>
                                      <w:p w14:paraId="10091E81" w14:textId="0B6D2DA7" w:rsidR="00827703" w:rsidRPr="00827703" w:rsidRDefault="00326F40" w:rsidP="008277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  <w:t>Denise Rude</w:t>
                                        </w:r>
                                      </w:p>
                                      <w:p w14:paraId="10091E82" w14:textId="396A4D65" w:rsidR="00827703" w:rsidRPr="00827703" w:rsidRDefault="00827703" w:rsidP="008277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27703"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  <w:t>(507)</w:t>
                                        </w:r>
                                        <w:r w:rsidR="00326F40"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  <w:t xml:space="preserve"> 613-8025</w:t>
                                        </w:r>
                                      </w:p>
                                      <w:p w14:paraId="10091E83" w14:textId="77777777" w:rsidR="00827703" w:rsidRPr="00827703" w:rsidRDefault="00827703" w:rsidP="008277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Baskerville Old Face" w:hAnsi="Baskerville Old Face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0091E89" w14:textId="77777777" w:rsidR="00827703" w:rsidRDefault="00827703" w:rsidP="00827703">
                                        <w:pPr>
                                          <w:spacing w:before="24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091E7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.85pt;margin-top:61.2pt;width:187.5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">
                            <v:textbox>
                              <w:txbxContent>
                                <w:p w14:paraId="10091E80" w14:textId="6AD4CAB2" w:rsidR="00827703" w:rsidRPr="00D4609A" w:rsidRDefault="00275AF9" w:rsidP="00827703">
                                  <w:pPr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D4609A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FGDM Coordinator</w:t>
                                  </w:r>
                                </w:p>
                                <w:p w14:paraId="10091E81" w14:textId="0B6D2DA7" w:rsidR="00827703" w:rsidRPr="00827703" w:rsidRDefault="00326F40" w:rsidP="00827703">
                                  <w:pPr>
                                    <w:spacing w:after="0"/>
                                    <w:jc w:val="center"/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  <w:t>Denise Rude</w:t>
                                  </w:r>
                                </w:p>
                                <w:p w14:paraId="10091E82" w14:textId="396A4D65" w:rsidR="00827703" w:rsidRPr="00827703" w:rsidRDefault="00827703" w:rsidP="00827703">
                                  <w:pPr>
                                    <w:spacing w:after="0"/>
                                    <w:jc w:val="center"/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</w:pPr>
                                  <w:r w:rsidRPr="00827703"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  <w:t>(507)</w:t>
                                  </w:r>
                                  <w:r w:rsidR="00326F40"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  <w:t xml:space="preserve"> 613-8025</w:t>
                                  </w:r>
                                </w:p>
                                <w:p w14:paraId="10091E83" w14:textId="77777777" w:rsidR="00827703" w:rsidRPr="00827703" w:rsidRDefault="00827703" w:rsidP="00827703">
                                  <w:pPr>
                                    <w:spacing w:after="0"/>
                                    <w:jc w:val="center"/>
                                    <w:rPr>
                                      <w:rFonts w:ascii="Baskerville Old Face" w:hAnsi="Baskerville Old Fac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091E89" w14:textId="77777777" w:rsidR="00827703" w:rsidRDefault="00827703" w:rsidP="00827703">
                                  <w:pPr>
                                    <w:spacing w:before="240"/>
                                    <w:jc w:val="center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CC188D">
                    <w:rPr>
                      <w:color w:val="auto"/>
                      <w:sz w:val="24"/>
                    </w:rPr>
                    <w:t>Funded by: Department of Human Services</w:t>
                  </w:r>
                </w:p>
              </w:tc>
            </w:tr>
            <w:tr w:rsidR="00CC188D" w:rsidRPr="00CC188D" w14:paraId="10091E4A" w14:textId="77777777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14:paraId="10091E49" w14:textId="77777777" w:rsidR="0006579B" w:rsidRPr="00CC188D" w:rsidRDefault="0006579B">
                  <w:pPr>
                    <w:pStyle w:val="NoSpacing"/>
                    <w:rPr>
                      <w:color w:val="auto"/>
                    </w:rPr>
                  </w:pPr>
                </w:p>
              </w:tc>
            </w:tr>
          </w:tbl>
          <w:p w14:paraId="10091E4B" w14:textId="77777777" w:rsidR="0006579B" w:rsidRPr="00CC188D" w:rsidRDefault="0006579B">
            <w:pPr>
              <w:rPr>
                <w:color w:val="auto"/>
              </w:rPr>
            </w:pPr>
          </w:p>
        </w:tc>
      </w:tr>
    </w:tbl>
    <w:p w14:paraId="10091E4D" w14:textId="77777777" w:rsidR="0006579B" w:rsidRPr="00CC188D" w:rsidRDefault="0006579B">
      <w:pPr>
        <w:pStyle w:val="NoSpacing"/>
        <w:rPr>
          <w:color w:val="auto"/>
          <w:sz w:val="8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3845"/>
        <w:gridCol w:w="1438"/>
        <w:gridCol w:w="3846"/>
        <w:gridCol w:w="1439"/>
        <w:gridCol w:w="3846"/>
      </w:tblGrid>
      <w:tr w:rsidR="00CC188D" w:rsidRPr="00CC188D" w14:paraId="10091E53" w14:textId="77777777" w:rsidTr="00026CE9">
        <w:trPr>
          <w:cantSplit/>
          <w:trHeight w:hRule="exact" w:val="80"/>
          <w:jc w:val="center"/>
        </w:trPr>
        <w:tc>
          <w:tcPr>
            <w:tcW w:w="3845" w:type="dxa"/>
            <w:shd w:val="clear" w:color="auto" w:fill="000000" w:themeFill="text1"/>
          </w:tcPr>
          <w:p w14:paraId="10091E4E" w14:textId="77777777" w:rsidR="0006579B" w:rsidRPr="00CC188D" w:rsidRDefault="00C01E57">
            <w:pPr>
              <w:rPr>
                <w:color w:val="auto"/>
              </w:rPr>
            </w:pPr>
            <w:r w:rsidRPr="00CC188D">
              <w:rPr>
                <w:color w:val="auto"/>
              </w:rPr>
              <w:lastRenderedPageBreak/>
              <w:t>R</w:t>
            </w:r>
          </w:p>
        </w:tc>
        <w:tc>
          <w:tcPr>
            <w:tcW w:w="1438" w:type="dxa"/>
          </w:tcPr>
          <w:p w14:paraId="10091E4F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3846" w:type="dxa"/>
            <w:shd w:val="clear" w:color="auto" w:fill="000000" w:themeFill="text1"/>
          </w:tcPr>
          <w:p w14:paraId="10091E50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1439" w:type="dxa"/>
          </w:tcPr>
          <w:p w14:paraId="10091E51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3846" w:type="dxa"/>
            <w:shd w:val="clear" w:color="auto" w:fill="000000" w:themeFill="text1"/>
          </w:tcPr>
          <w:p w14:paraId="10091E52" w14:textId="77777777" w:rsidR="0006579B" w:rsidRPr="00CC188D" w:rsidRDefault="0006579B">
            <w:pPr>
              <w:rPr>
                <w:color w:val="auto"/>
              </w:rPr>
            </w:pPr>
          </w:p>
        </w:tc>
      </w:tr>
      <w:tr w:rsidR="0006579B" w:rsidRPr="00CC188D" w14:paraId="10091E74" w14:textId="77777777" w:rsidTr="00026CE9">
        <w:trPr>
          <w:cantSplit/>
          <w:trHeight w:val="10570"/>
          <w:jc w:val="center"/>
        </w:trPr>
        <w:tc>
          <w:tcPr>
            <w:tcW w:w="3845" w:type="dxa"/>
          </w:tcPr>
          <w:p w14:paraId="10091E54" w14:textId="77777777" w:rsidR="00C01E57" w:rsidRPr="00CC188D" w:rsidRDefault="00C01E57" w:rsidP="00873FBF">
            <w:pPr>
              <w:pStyle w:val="Heading2"/>
              <w:jc w:val="center"/>
              <w:rPr>
                <w:color w:val="auto"/>
              </w:rPr>
            </w:pPr>
          </w:p>
          <w:p w14:paraId="10091E55" w14:textId="77777777" w:rsidR="00C01E57" w:rsidRPr="00CC188D" w:rsidRDefault="00C01E57" w:rsidP="00873FBF">
            <w:pPr>
              <w:pStyle w:val="Heading2"/>
              <w:jc w:val="center"/>
              <w:rPr>
                <w:color w:val="auto"/>
              </w:rPr>
            </w:pPr>
          </w:p>
          <w:p w14:paraId="10091E56" w14:textId="77777777" w:rsidR="0006579B" w:rsidRPr="00CC188D" w:rsidRDefault="00873FBF" w:rsidP="00873FBF">
            <w:pPr>
              <w:pStyle w:val="Heading2"/>
              <w:jc w:val="center"/>
              <w:rPr>
                <w:color w:val="auto"/>
              </w:rPr>
            </w:pPr>
            <w:r w:rsidRPr="00CC188D">
              <w:rPr>
                <w:color w:val="auto"/>
              </w:rPr>
              <w:t>What is Family Group Decision Making?</w:t>
            </w:r>
          </w:p>
          <w:p w14:paraId="10091E57" w14:textId="77777777" w:rsidR="0006579B" w:rsidRPr="00CC188D" w:rsidRDefault="00873FBF" w:rsidP="00CC188D">
            <w:pPr>
              <w:pStyle w:val="ListBullet"/>
              <w:numPr>
                <w:ilvl w:val="0"/>
                <w:numId w:val="9"/>
              </w:numPr>
              <w:rPr>
                <w:color w:val="auto"/>
              </w:rPr>
            </w:pPr>
            <w:r w:rsidRPr="00CC188D">
              <w:rPr>
                <w:color w:val="auto"/>
              </w:rPr>
              <w:t>Family Group Decision Making is a facilitated, confidential meeting between family, friends, and professionals.</w:t>
            </w:r>
          </w:p>
          <w:p w14:paraId="10091E58" w14:textId="77777777" w:rsidR="00873FBF" w:rsidRPr="00CC188D" w:rsidRDefault="00873FBF" w:rsidP="00CC188D">
            <w:pPr>
              <w:pStyle w:val="ListBullet"/>
              <w:numPr>
                <w:ilvl w:val="0"/>
                <w:numId w:val="9"/>
              </w:numPr>
              <w:rPr>
                <w:color w:val="auto"/>
              </w:rPr>
            </w:pPr>
            <w:r w:rsidRPr="00CC188D">
              <w:rPr>
                <w:color w:val="auto"/>
              </w:rPr>
              <w:t>It empowers support systems to work together for the purpose of providing a safe, secure environment, free from abuse and neglect for the child/children.</w:t>
            </w:r>
          </w:p>
          <w:tbl>
            <w:tblPr>
              <w:tblStyle w:val="TableGrid"/>
              <w:tblW w:w="42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Layout table"/>
            </w:tblPr>
            <w:tblGrid>
              <w:gridCol w:w="4257"/>
            </w:tblGrid>
            <w:tr w:rsidR="00CC188D" w:rsidRPr="00CC188D" w14:paraId="10091E61" w14:textId="77777777" w:rsidTr="00026CE9">
              <w:trPr>
                <w:trHeight w:val="3735"/>
              </w:trPr>
              <w:tc>
                <w:tcPr>
                  <w:tcW w:w="4257" w:type="dxa"/>
                  <w:shd w:val="clear" w:color="auto" w:fill="000000" w:themeFill="text1"/>
                </w:tcPr>
                <w:p w14:paraId="10091E59" w14:textId="77777777" w:rsidR="0006579B" w:rsidRPr="00CC188D" w:rsidRDefault="0006579B">
                  <w:pPr>
                    <w:rPr>
                      <w:color w:val="auto"/>
                    </w:rPr>
                  </w:pPr>
                </w:p>
                <w:p w14:paraId="10091E5A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  <w:p w14:paraId="10091E5B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  <w:p w14:paraId="10091E5C" w14:textId="77777777" w:rsidR="00C01E57" w:rsidRPr="00CC188D" w:rsidRDefault="00026CE9">
                  <w:pPr>
                    <w:rPr>
                      <w:color w:val="auto"/>
                    </w:rPr>
                  </w:pPr>
                  <w:r w:rsidRPr="00CC188D">
                    <w:rPr>
                      <w:noProof/>
                      <w:color w:val="auto"/>
                    </w:rPr>
                    <w:drawing>
                      <wp:inline distT="0" distB="0" distL="0" distR="0" wp14:anchorId="10091E78" wp14:editId="10091E79">
                        <wp:extent cx="4962525" cy="1543050"/>
                        <wp:effectExtent l="0" t="0" r="9525" b="0"/>
                        <wp:docPr id="1" name="Picture 1" descr="http://www.umchealthyfamilies.org/content/general/header-family_1_1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umchealthyfamilies.org/content/general/header-family_1_1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25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091E5D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  <w:p w14:paraId="10091E5E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  <w:p w14:paraId="10091E5F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  <w:p w14:paraId="10091E60" w14:textId="77777777" w:rsidR="00C01E57" w:rsidRPr="00CC188D" w:rsidRDefault="00C01E57">
                  <w:pPr>
                    <w:rPr>
                      <w:color w:val="auto"/>
                    </w:rPr>
                  </w:pPr>
                </w:p>
              </w:tc>
            </w:tr>
          </w:tbl>
          <w:p w14:paraId="10091E62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1438" w:type="dxa"/>
          </w:tcPr>
          <w:p w14:paraId="10091E63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3846" w:type="dxa"/>
          </w:tcPr>
          <w:p w14:paraId="10091E64" w14:textId="77777777" w:rsidR="0006579B" w:rsidRPr="00CC188D" w:rsidRDefault="0006579B">
            <w:pPr>
              <w:rPr>
                <w:color w:val="auto"/>
              </w:rPr>
            </w:pPr>
          </w:p>
          <w:tbl>
            <w:tblPr>
              <w:tblStyle w:val="TableGrid"/>
              <w:tblW w:w="97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Layout table"/>
            </w:tblPr>
            <w:tblGrid>
              <w:gridCol w:w="27"/>
              <w:gridCol w:w="4951"/>
              <w:gridCol w:w="4770"/>
            </w:tblGrid>
            <w:tr w:rsidR="00CC188D" w:rsidRPr="00CC188D" w14:paraId="10091E68" w14:textId="77777777" w:rsidTr="00026CE9">
              <w:trPr>
                <w:trHeight w:hRule="exact" w:val="4403"/>
              </w:trPr>
              <w:tc>
                <w:tcPr>
                  <w:tcW w:w="27" w:type="dxa"/>
                  <w:shd w:val="clear" w:color="auto" w:fill="000000" w:themeFill="text1"/>
                </w:tcPr>
                <w:p w14:paraId="10091E65" w14:textId="77777777" w:rsidR="0006579B" w:rsidRPr="00CC188D" w:rsidRDefault="0006579B" w:rsidP="00026CE9">
                  <w:pPr>
                    <w:pStyle w:val="Caption"/>
                    <w:ind w:left="0"/>
                  </w:pPr>
                </w:p>
              </w:tc>
              <w:tc>
                <w:tcPr>
                  <w:tcW w:w="4951" w:type="dxa"/>
                  <w:shd w:val="clear" w:color="auto" w:fill="auto"/>
                </w:tcPr>
                <w:p w14:paraId="10091E66" w14:textId="77777777" w:rsidR="0006579B" w:rsidRPr="00CC188D" w:rsidRDefault="00026CE9">
                  <w:pPr>
                    <w:rPr>
                      <w:color w:val="auto"/>
                    </w:rPr>
                  </w:pPr>
                  <w:r w:rsidRPr="00CC188D">
                    <w:rPr>
                      <w:noProof/>
                      <w:color w:val="auto"/>
                    </w:rPr>
                    <w:drawing>
                      <wp:inline distT="0" distB="0" distL="0" distR="0" wp14:anchorId="10091E7A" wp14:editId="10091E7B">
                        <wp:extent cx="2754671" cy="2343150"/>
                        <wp:effectExtent l="0" t="0" r="7620" b="0"/>
                        <wp:docPr id="3" name="Picture 3" descr="http://wholefamily.com/media/k2/categories/184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holefamily.com/media/k2/categories/184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671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0" w:type="dxa"/>
                  <w:shd w:val="clear" w:color="auto" w:fill="auto"/>
                </w:tcPr>
                <w:p w14:paraId="10091E67" w14:textId="77777777" w:rsidR="0006579B" w:rsidRPr="00CC188D" w:rsidRDefault="0006579B">
                  <w:pPr>
                    <w:rPr>
                      <w:color w:val="auto"/>
                    </w:rPr>
                  </w:pPr>
                </w:p>
              </w:tc>
            </w:tr>
          </w:tbl>
          <w:p w14:paraId="10091E69" w14:textId="77777777" w:rsidR="0006579B" w:rsidRPr="00CC188D" w:rsidRDefault="0016031C">
            <w:pPr>
              <w:pStyle w:val="Heading2"/>
              <w:rPr>
                <w:color w:val="auto"/>
              </w:rPr>
            </w:pPr>
            <w:r w:rsidRPr="00CC188D">
              <w:rPr>
                <w:color w:val="auto"/>
              </w:rPr>
              <w:t>Bringing it to the table…</w:t>
            </w:r>
          </w:p>
          <w:p w14:paraId="10091E6A" w14:textId="77777777" w:rsidR="0006579B" w:rsidRPr="00CC188D" w:rsidRDefault="0016031C" w:rsidP="0016031C">
            <w:pPr>
              <w:rPr>
                <w:color w:val="auto"/>
              </w:rPr>
            </w:pPr>
            <w:r w:rsidRPr="00CC188D">
              <w:rPr>
                <w:color w:val="auto"/>
              </w:rPr>
              <w:t xml:space="preserve">Families want what is best for their children, but sometimes life throws some serious </w:t>
            </w:r>
            <w:proofErr w:type="gramStart"/>
            <w:r w:rsidRPr="00CC188D">
              <w:rPr>
                <w:color w:val="auto"/>
              </w:rPr>
              <w:t>challenges</w:t>
            </w:r>
            <w:proofErr w:type="gramEnd"/>
            <w:r w:rsidRPr="00CC188D">
              <w:rPr>
                <w:color w:val="auto"/>
              </w:rPr>
              <w:t xml:space="preserve"> our direction.</w:t>
            </w:r>
          </w:p>
          <w:p w14:paraId="10091E6B" w14:textId="77777777" w:rsidR="0016031C" w:rsidRPr="00CC188D" w:rsidRDefault="0016031C" w:rsidP="0016031C">
            <w:pPr>
              <w:rPr>
                <w:color w:val="auto"/>
              </w:rPr>
            </w:pPr>
            <w:r w:rsidRPr="00CC188D">
              <w:rPr>
                <w:color w:val="auto"/>
              </w:rPr>
              <w:t>When a child’s safety or well-being is in jeopardy, a family may need to decide how to keep their children safe while continuing to provide support as they grow.</w:t>
            </w:r>
          </w:p>
        </w:tc>
        <w:tc>
          <w:tcPr>
            <w:tcW w:w="1439" w:type="dxa"/>
          </w:tcPr>
          <w:p w14:paraId="10091E6C" w14:textId="77777777" w:rsidR="0006579B" w:rsidRPr="00CC188D" w:rsidRDefault="0006579B">
            <w:pPr>
              <w:rPr>
                <w:color w:val="auto"/>
              </w:rPr>
            </w:pPr>
          </w:p>
        </w:tc>
        <w:tc>
          <w:tcPr>
            <w:tcW w:w="3846" w:type="dxa"/>
          </w:tcPr>
          <w:p w14:paraId="10091E6D" w14:textId="77777777" w:rsidR="0006579B" w:rsidRPr="00CC188D" w:rsidRDefault="0016031C" w:rsidP="0015637E">
            <w:pPr>
              <w:pStyle w:val="Heading2"/>
              <w:jc w:val="center"/>
              <w:rPr>
                <w:color w:val="auto"/>
                <w:sz w:val="36"/>
                <w:szCs w:val="36"/>
              </w:rPr>
            </w:pPr>
            <w:r w:rsidRPr="00CC188D">
              <w:rPr>
                <w:color w:val="auto"/>
                <w:sz w:val="36"/>
                <w:szCs w:val="36"/>
              </w:rPr>
              <w:t>Is FGDM right for my family?</w:t>
            </w:r>
          </w:p>
          <w:p w14:paraId="10091E6E" w14:textId="77777777" w:rsidR="0006579B" w:rsidRPr="00CC188D" w:rsidRDefault="0016031C" w:rsidP="0015637E">
            <w:pPr>
              <w:pStyle w:val="Quote"/>
              <w:rPr>
                <w:rStyle w:val="QuoteChar"/>
                <w:color w:val="auto"/>
                <w:sz w:val="28"/>
                <w:szCs w:val="28"/>
              </w:rPr>
            </w:pPr>
            <w:r w:rsidRPr="00CC188D">
              <w:rPr>
                <w:rStyle w:val="QuoteChar"/>
                <w:iCs/>
                <w:color w:val="auto"/>
                <w:sz w:val="28"/>
                <w:szCs w:val="28"/>
              </w:rPr>
              <w:t>A FGDM meeting would be helpful if:</w:t>
            </w:r>
          </w:p>
          <w:p w14:paraId="10091E6F" w14:textId="77777777" w:rsidR="0006579B" w:rsidRPr="00CC188D" w:rsidRDefault="0015637E" w:rsidP="00CC188D">
            <w:pPr>
              <w:pStyle w:val="ListBullet"/>
              <w:numPr>
                <w:ilvl w:val="0"/>
                <w:numId w:val="10"/>
              </w:numPr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C188D"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>If your child is in foster care or lives in another setting away from home.</w:t>
            </w:r>
          </w:p>
          <w:p w14:paraId="10091E70" w14:textId="77777777" w:rsidR="0015637E" w:rsidRPr="00CC188D" w:rsidRDefault="0015637E" w:rsidP="00CC188D">
            <w:pPr>
              <w:pStyle w:val="ListBullet"/>
              <w:numPr>
                <w:ilvl w:val="0"/>
                <w:numId w:val="10"/>
              </w:numPr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C188D"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>The Human Service agency determines that child protective services are needed.</w:t>
            </w:r>
          </w:p>
          <w:p w14:paraId="10091E71" w14:textId="77777777" w:rsidR="0015637E" w:rsidRPr="00CC188D" w:rsidRDefault="0015637E" w:rsidP="00CC188D">
            <w:pPr>
              <w:pStyle w:val="ListBullet"/>
              <w:numPr>
                <w:ilvl w:val="0"/>
                <w:numId w:val="10"/>
              </w:numPr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C188D"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 xml:space="preserve">You and your family and friends are willing to share ideas, discuss creative solutions and work toward a thoughtful agreement. </w:t>
            </w:r>
          </w:p>
          <w:p w14:paraId="10091E72" w14:textId="77777777" w:rsidR="0015637E" w:rsidRPr="00CC188D" w:rsidRDefault="0015637E" w:rsidP="00CC188D">
            <w:pPr>
              <w:pStyle w:val="ListBullet"/>
              <w:numPr>
                <w:ilvl w:val="0"/>
                <w:numId w:val="10"/>
              </w:numPr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C188D"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>A parent or legal guardian of the child is able to enter into an agreement.</w:t>
            </w:r>
          </w:p>
          <w:p w14:paraId="10091E73" w14:textId="77777777" w:rsidR="0015637E" w:rsidRPr="00CC188D" w:rsidRDefault="0015637E" w:rsidP="00CC188D">
            <w:pPr>
              <w:pStyle w:val="ListBullet"/>
              <w:numPr>
                <w:ilvl w:val="0"/>
                <w:numId w:val="10"/>
              </w:numPr>
              <w:rPr>
                <w:color w:val="auto"/>
              </w:rPr>
            </w:pPr>
            <w:r w:rsidRPr="00CC188D">
              <w:rPr>
                <w:rStyle w:val="Heading2Char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>If you have concerns that your child is unsafe in his or her home.</w:t>
            </w:r>
          </w:p>
        </w:tc>
      </w:tr>
    </w:tbl>
    <w:p w14:paraId="10091E75" w14:textId="77777777" w:rsidR="0006579B" w:rsidRPr="00CC188D" w:rsidRDefault="0006579B">
      <w:pPr>
        <w:pStyle w:val="NoSpacing"/>
        <w:rPr>
          <w:color w:val="auto"/>
          <w:sz w:val="8"/>
        </w:rPr>
      </w:pPr>
    </w:p>
    <w:sectPr w:rsidR="0006579B" w:rsidRPr="00CC188D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C80B8" w14:textId="77777777" w:rsidR="004D6D15" w:rsidRDefault="004D6D15" w:rsidP="00E2610A">
      <w:pPr>
        <w:spacing w:after="0" w:line="240" w:lineRule="auto"/>
      </w:pPr>
      <w:r>
        <w:separator/>
      </w:r>
    </w:p>
  </w:endnote>
  <w:endnote w:type="continuationSeparator" w:id="0">
    <w:p w14:paraId="66566806" w14:textId="77777777" w:rsidR="004D6D15" w:rsidRDefault="004D6D15" w:rsidP="00E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C6C2C" w14:textId="77777777" w:rsidR="004D6D15" w:rsidRDefault="004D6D15" w:rsidP="00E2610A">
      <w:pPr>
        <w:spacing w:after="0" w:line="240" w:lineRule="auto"/>
      </w:pPr>
      <w:r>
        <w:separator/>
      </w:r>
    </w:p>
  </w:footnote>
  <w:footnote w:type="continuationSeparator" w:id="0">
    <w:p w14:paraId="52FFC173" w14:textId="77777777" w:rsidR="004D6D15" w:rsidRDefault="004D6D15" w:rsidP="00E2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440F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1DAF15A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EF4623" w:themeColor="accent1"/>
      </w:rPr>
    </w:lvl>
  </w:abstractNum>
  <w:abstractNum w:abstractNumId="2" w15:restartNumberingAfterBreak="0">
    <w:nsid w:val="11441D40"/>
    <w:multiLevelType w:val="hybridMultilevel"/>
    <w:tmpl w:val="9E664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17DDE"/>
    <w:multiLevelType w:val="hybridMultilevel"/>
    <w:tmpl w:val="16ECB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006537">
    <w:abstractNumId w:val="1"/>
  </w:num>
  <w:num w:numId="2" w16cid:durableId="993143749">
    <w:abstractNumId w:val="1"/>
    <w:lvlOverride w:ilvl="0">
      <w:startOverride w:val="1"/>
    </w:lvlOverride>
  </w:num>
  <w:num w:numId="3" w16cid:durableId="1709603954">
    <w:abstractNumId w:val="1"/>
    <w:lvlOverride w:ilvl="0">
      <w:startOverride w:val="1"/>
    </w:lvlOverride>
  </w:num>
  <w:num w:numId="4" w16cid:durableId="559679344">
    <w:abstractNumId w:val="1"/>
    <w:lvlOverride w:ilvl="0">
      <w:startOverride w:val="1"/>
    </w:lvlOverride>
  </w:num>
  <w:num w:numId="5" w16cid:durableId="2123111516">
    <w:abstractNumId w:val="1"/>
    <w:lvlOverride w:ilvl="0">
      <w:startOverride w:val="1"/>
    </w:lvlOverride>
  </w:num>
  <w:num w:numId="6" w16cid:durableId="485433868">
    <w:abstractNumId w:val="1"/>
    <w:lvlOverride w:ilvl="0">
      <w:startOverride w:val="1"/>
    </w:lvlOverride>
  </w:num>
  <w:num w:numId="7" w16cid:durableId="825974118">
    <w:abstractNumId w:val="0"/>
  </w:num>
  <w:num w:numId="8" w16cid:durableId="421731153">
    <w:abstractNumId w:val="1"/>
    <w:lvlOverride w:ilvl="0">
      <w:startOverride w:val="1"/>
    </w:lvlOverride>
  </w:num>
  <w:num w:numId="9" w16cid:durableId="2143881389">
    <w:abstractNumId w:val="2"/>
  </w:num>
  <w:num w:numId="10" w16cid:durableId="1807774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03"/>
    <w:rsid w:val="00026CE9"/>
    <w:rsid w:val="0006579B"/>
    <w:rsid w:val="0015637E"/>
    <w:rsid w:val="0016031C"/>
    <w:rsid w:val="001D707E"/>
    <w:rsid w:val="0026669F"/>
    <w:rsid w:val="00275AF9"/>
    <w:rsid w:val="002C38F9"/>
    <w:rsid w:val="002C55B0"/>
    <w:rsid w:val="00326F40"/>
    <w:rsid w:val="004C6928"/>
    <w:rsid w:val="004D6D15"/>
    <w:rsid w:val="005F3F55"/>
    <w:rsid w:val="006D7C35"/>
    <w:rsid w:val="00827703"/>
    <w:rsid w:val="00873FBF"/>
    <w:rsid w:val="008B4149"/>
    <w:rsid w:val="00BF5A02"/>
    <w:rsid w:val="00C01E57"/>
    <w:rsid w:val="00CC188D"/>
    <w:rsid w:val="00D4609A"/>
    <w:rsid w:val="00E2610A"/>
    <w:rsid w:val="00F5432F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91E2D"/>
  <w15:chartTrackingRefBased/>
  <w15:docId w15:val="{0AB67736-F18F-4867-8A4E-35374091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0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EF4623" w:themeColor="accent1"/>
      <w:sz w:val="24"/>
    </w:rPr>
  </w:style>
  <w:style w:type="paragraph" w:styleId="Subtitle">
    <w:name w:val="Subtitle"/>
    <w:basedOn w:val="Normal"/>
    <w:link w:val="SubtitleChar"/>
    <w:uiPriority w:val="5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120" w:after="160" w:line="240" w:lineRule="auto"/>
      <w:contextualSpacing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4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Name">
    <w:name w:val="Recipient Name"/>
    <w:basedOn w:val="Normal"/>
    <w:uiPriority w:val="3"/>
    <w:qFormat/>
    <w:pPr>
      <w:spacing w:before="1200" w:after="0"/>
      <w:contextualSpacing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</w:rPr>
  </w:style>
  <w:style w:type="paragraph" w:customStyle="1" w:styleId="RecipientAddress">
    <w:name w:val="Recipient Address"/>
    <w:basedOn w:val="Normal"/>
    <w:uiPriority w:val="4"/>
    <w:qFormat/>
    <w:pPr>
      <w:spacing w:after="0"/>
    </w:pPr>
  </w:style>
  <w:style w:type="paragraph" w:styleId="Caption">
    <w:name w:val="caption"/>
    <w:basedOn w:val="Normal"/>
    <w:uiPriority w:val="1"/>
    <w:qFormat/>
    <w:pPr>
      <w:spacing w:before="120" w:after="120" w:line="240" w:lineRule="auto"/>
      <w:ind w:left="144" w:right="144"/>
    </w:pPr>
    <w:rPr>
      <w:iCs/>
      <w:color w:val="auto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tabs>
        <w:tab w:val="left" w:pos="360"/>
      </w:tabs>
      <w:contextualSpacing/>
    </w:p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116zcz6rNAhUSQFIKHUCvB-gQjRwIBw&amp;url=http://umchealthyfamilies.org/&amp;psig=AFQjCNEOfIQ09AGx2go105FRRshuLingdQ&amp;ust=1466100371082807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i&amp;rct=j&amp;q=&amp;esrc=s&amp;source=images&amp;cd=&amp;cad=rja&amp;uact=8&amp;ved=0ahUKEwjV9P2r0KrNAhUQRlIKHT9kCfEQjRwIBw&amp;url=http://wholefamily.com/parent-center/blended-step-families-community&amp;psig=AFQjCNEOfIQ09AGx2go105FRRshuLingdQ&amp;ust=14661003710828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hs3\AppData\Roaming\Microsoft\Templates\Tri-fold%20brochure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383BCD30534FCBBDCBC220B513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0A06-2E59-4812-90CD-4BE202AC94D1}"/>
      </w:docPartPr>
      <w:docPartBody>
        <w:p w:rsidR="00223180" w:rsidRDefault="002F7DD3">
          <w:pPr>
            <w:pStyle w:val="96383BCD30534FCBBDCBC220B5136A0F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1DAF15A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156082" w:themeColor="accent1"/>
      </w:rPr>
    </w:lvl>
  </w:abstractNum>
  <w:num w:numId="1" w16cid:durableId="14046003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3"/>
    <w:rsid w:val="00223180"/>
    <w:rsid w:val="002F7DD3"/>
    <w:rsid w:val="00551230"/>
    <w:rsid w:val="006D1163"/>
    <w:rsid w:val="00C6350A"/>
    <w:rsid w:val="00D04C60"/>
    <w:rsid w:val="00D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83BCD30534FCBBDCBC220B5136A0F">
    <w:name w:val="96383BCD30534FCBBDCBC220B5136A0F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80" w:line="288" w:lineRule="auto"/>
    </w:pPr>
    <w:rPr>
      <w:rFonts w:eastAsiaTheme="minorHAnsi"/>
      <w:color w:val="404040" w:themeColor="text1" w:themeTint="BF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(Red and Black design)</Template>
  <TotalTime>354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Group Decision Making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Decision Making</dc:title>
  <dc:subject/>
  <dc:creator>bec</dc:creator>
  <cp:keywords/>
  <dc:description/>
  <cp:lastModifiedBy>Denise  Rude</cp:lastModifiedBy>
  <cp:revision>10</cp:revision>
  <cp:lastPrinted>2018-10-22T01:13:00Z</cp:lastPrinted>
  <dcterms:created xsi:type="dcterms:W3CDTF">2016-06-13T15:45:00Z</dcterms:created>
  <dcterms:modified xsi:type="dcterms:W3CDTF">2024-03-27T16:36:00Z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